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60 vom 22. Oktober 2021</w:t>
      </w:r>
    </w:p>
    <w:p>
      <w:r>
        <w:t>VS Kantonsgericht, 2021-10-22, FR</w:t>
      </w:r>
    </w:p>
    <w:p>
      <w:r>
        <w:rPr>
          <w:b/>
        </w:rPr>
        <w:t xml:space="preserve">Quelle: </w:t>
      </w:r>
      <w:r>
        <w:t>https://mcp.opencaselaw.ch/entscheid/vs_gerichte_A1 21 60</w:t>
      </w:r>
    </w:p>
    <w:p>
      <w:r>
        <w:t>FR: VS_GERICHTE A1 21 60 du 22 octobre 2021</w:t>
      </w:r>
    </w:p>
    <w:p>
      <w:r>
        <w:t>IT: VS_GERICHTE A1 21 60 del 22 ottobre 2021</w:t>
      </w:r>
    </w:p>
    <w:p>
      <w:pPr>
        <w:pStyle w:val="Heading2"/>
      </w:pPr>
      <w:r>
        <w:t>Regeste</w:t>
      </w:r>
    </w:p>
    <w:p>
      <w:r>
        <w:t>A1 21 60 ARRÊT DU 22 OCTOBRE 2021 Tribunal cantonal du Valais Cour de droit public Composition : Christophe Joris, président ; Jean-Bernard Fournier et Thomas Brunner, juges en la cause X _________, 1950 Sion, recourant, représenté par Maître Isabelle Seidler, avocate, 1211 Genève 3, contre CONSEIL D’ÉTAT DU CANTON DU VALAIS, 1950 Sion, autorité attaquée (frais facturés par le SCN pour retard dans le paiement de l’impôt véhicule) recours de droit administratif contre la décision du 17 mars 2021</w:t>
      </w:r>
    </w:p>
    <w:p>
      <w:pPr>
        <w:pStyle w:val="Heading2"/>
      </w:pPr>
      <w:r>
        <w:t>Erwägungen</w:t>
      </w:r>
    </w:p>
    <w:p>
      <w:r>
        <w:rPr>
          <w:b/>
        </w:rPr>
        <w:t>E. 1</w:t>
      </w:r>
    </w:p>
    <w:p>
      <w:r>
        <w:t>Le recours du 6 avril 2021, interjeté en temps utile et dans les formes requises par une personne spécialement touchée par une décision du Conseil d’Etat confirmant celle du SCN mettant à sa charge des frais découlant d’un soi-disant arriéré de paiement de l’impôt sur véhicule 2019, est recevable (art. 72, 78 let. a, 80 al. 1 let. a et b, 44 al. 1 let. a et 46 LPJA).</w:t>
      </w:r>
    </w:p>
    <w:p>
      <w:r>
        <w:rPr>
          <w:b/>
        </w:rPr>
        <w:t>E. 2</w:t>
      </w:r>
    </w:p>
    <w:p>
      <w:r>
        <w:t>Dans un premier grief, le recourant se prévaut d’une constatation incomplète des faits par l’autorité attaquée (art. 78 let. a LPJA). Il est exact que la décision du Conseil d’Etat du Valais omet de préciser que les plis des 8 décembre 2018 (contenant la facture), 15 février 2019 (premier rappel) et 16 mars 2019 (second rappel) ont été adressés sous pli simple alors que la décision du 4 mai 2019 l’a été sous pli recommandé, ce qui a effectivement toute son importance dans l’examen des considérations juridiques qui vont suivre (cf. infra, consid. 3.2). Ces faits ressortaient pourtant du dossier du SCN qui contient un duplicata des enveloppes des trois premiers envois qui portent la mention « DEST. INTROUVABLE, RETOUR A L’EXPEDITEUR » (cf. dossier du SCN p. 2, 5 et 8) et une copie de sa décision (avec l’indication, sous l’adressage, « Recommandé » ; cf. dossier du SCN, p. 17), une copie des trois enveloppes précitées ayant été produites par le recourant à l’appui de son écriture de son recours administratif du 14 mai 2019. Partant, le grief est fondé.</w:t>
      </w:r>
    </w:p>
    <w:p>
      <w:r>
        <w:rPr>
          <w:b/>
        </w:rPr>
        <w:t>E. 3</w:t>
      </w:r>
    </w:p>
    <w:p>
      <w:r>
        <w:t>Dans un second grief, le recourant invoque une violation de l’article 31 LPJA et des règles générales valant en matière de notification.</w:t>
      </w:r>
    </w:p>
    <w:p>
      <w:r>
        <w:t>- 7 - 3.1.1. L’article 31 LPJA prévoit qu’une notification irrégulière ne peut entraîner aucun préjudice pour les parties. Une décision irrégulièrement notifiée (cf. article 31 LPJA) n'est pas nulle, mais simplement inopposable à ceux qui auraient dû en être les destinataires ; une telle décision ne peut donc pas les lier, mais la protection des parties est suffisamment garantie lorsque la notification irrégulière atteint son but malgré cette irrégularité (ATF 139 II 243 consid. 11.2 ; cf. ég. arrêt du Tribunal fédéral 2C_160/2019 du 5 novembre 2019 consid. 4.1 ; Thierry Tanquerel, Manuel de droit administratif, 2ème éd. 2018, n. 1576 p. 531 ; Jérôme Candrian, introduction à la procédure administrative fédérale, Bâle 2013, n. 32 p. 22). Il y a lieu d'examiner, d'après les circonstances du cas concret, si les parties intéressées ont réellement été induites en erreur par l'irrégularité de la notification et ont,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144 IV 57 consid. 2.3.2). Attendre passivement serait en effet contraire au principe de la bonne foi. La personne concernée est ainsi tenue de se renseigner sur l'existence et le contenu de la décision dès qu'elle peut en soupçonner l'existence, sous peine de se voir opposer l'irrecevabilité d'un éventuel moyen pour cause de tardiveté (ATF 139 IV 228 consid. 1.3 ; arrêt du Tribunal fédéral 1C_15/2016 du 1er septembre 2016 consid. 2.2 ; ACDP A1 19 164 du 19 mai 2020 consid. 2.2). 3.1.2. Selon la jurisprudence rendue en relation avec la notification d'actes juridiques, l'autorité supporte les conséquences de l'absence de preuve de notification en ce sens que si celle-ci ou sa date sont contestées et qu'il existe effectivement un doute à ce sujet, il y a lieu de se fonder sur les déclarations du destinataire de l'envoi. Elle précise cependant que la preuve de la notification peut résulter d'autres indices ou de l'ensemble des circonstances, par exemple un échange de correspondances ultérieur ou le comportement du destinataire (cf. ATF 145 IV 252 consid. 1.3.2; 144 IV 57 consid. 2.3.2; 142 IV 125 consid. 4.3).</w:t>
      </w:r>
    </w:p>
    <w:p>
      <w:r>
        <w:rPr>
          <w:b/>
        </w:rPr>
        <w:t>E. 3.2</w:t>
      </w:r>
    </w:p>
    <w:p>
      <w:r>
        <w:t>En l’occurrence, aucune base légale, en particulier la loi sur l’imposition des véhicules du 16 septembre 2004 et la LPJA, n’impose la communication d’une facture ou d’une décision par lettre signature ou par tout autre mode de communication impliquant un accusé de réception. Le SCN était donc libre de choisir la voie du pli simple</w:t>
      </w:r>
    </w:p>
    <w:p>
      <w:r>
        <w:t>- 8 - pour communiquer au contribuable sa facture n° 1800866449 portant sur l’impôt véhicule 2019. Ce mode de communication est d’ailleurs celui régulièrement utilisé en matière « d’administration de masse », en cas de bordereaux d’impôts par exemple (Donzallaz, la notification en droit interne suisse, Berne 2002, n. 1263 p. 594). Néanmoins, l’expédition effectuée sous pli ordinaire ne vaut pas preuve de notification et, en cas de contestation au sujet de la réception d’une décision, l’autorité n’a pas d’autre choix que de procéder à une nouvelle notification, cette fois sous pli recommandé (Donzallaz, op. cit., n. 1265 p. 594). Or, il est établi au dossier que les envois des 8 décembre 2018, 15 février 2019 et 16 mars 2019 ont été adressés sous pli simple et sont revenus avec la mention « destinataire introuvable » apposée par l’office postal, ce pour une raison inexplicable (cf. détermination du SCN du 3 septembre 2019). Par contre, pour une raison tout aussi inexplicable, la décision du 4 mai 2019, expédiée à la même adresse mais cette fois sous pli recommandé, a valablement été distribuée au recourant qui a ainsi pu la retirer et prendre connaissance de son contenu. Il ressort également du dossier (cf. contrat de bail produit à l’appui du recours de droit administratif) que le recourant habite au domicile auquel tous les envois précités ont été expédiés, soit à la Rue de l’Avenir 21 à Sion, depuis le 1er mai 2018. De plus, le SCN n’a jamais affirmé, et encore moins démontré, que l’intéressé avait changé d’adresse avant le 4 mai 2019. Dans ces circonstances très particulières, il appartenait au SCN, selon les règles exposées plus haut applicables en cas de doute au sujet de la notification, d’entreprendre des démarches pour vérifier l’adresse en sa possession (par un simple appel téléphonique au contribuable - le recourant avait communiqué son numéro au SCN lors de l’immatriculation de sa moto - ou au contrôle des habitants de la ville de Sion) et, une fois cette confirmation obtenue, de contacter l’office postal de Sion pour que ce dernier vérifie auprès des agents chargés de distribuer le courrier s’ils s’étaient bien rendus à la bonne adresse telle que qu’inscrite sur le premier envoi déjà. En effet, on n’a pas affaire ici à des envois revenus en retour avec la mention « NON RECLAME », lesquels auraient alors été valablement notifiés à l’échéance du délai de garde postal (ATF 134 V 49 consid. 4), mais avec la mention « DEST. INTROUVABLE », ce qui signifie que ces envois ne sont jamais parvenus dans la sphère d’influence du destinataire, et ce sans aucun comportement fautif et abusif de sa part (par exemple, par la suppression de son nom sur sa boîte aux lettres). On voit par ailleurs mal comment on pourrait opposer au recourant une négligence quelconque dans la mesure où, nonobstant ce que pensent le Conseil d’Etat et le SCN, tout contribuable n’ayant pas reçu une facture dans le délai de paiement ressortant d’une loi (ici, la loi cantonale sur l’imposition des véhicules) ne peut pas se voir reprocher un manque d’empressement à</w:t>
      </w:r>
    </w:p>
    <w:p>
      <w:r>
        <w:t>- 9 - s’enquérir de la raison pour laquelle cette facture ne lui est pas encore parvenue (dans ce sens, voir arrêt du Tribunal fédéral 1C_174/2016 du 24 août 2016 consid. 2.2 et Donzallaz, op. cit., n. 1178 p. 557), ce d’autant plus que la possibilité d’un retard d’une administration dans la facturation d’un impôt n’est pas un fait à exclure et n’aurait rien d’exceptionnel. Le SCN ne pouvait pas reporter l’erreur du tiers chargé d’acheminer le courrier sur le recourant et lui facturer pour cette raison des « frais de décision » de 108 fr. pour une absence de notification (soit celle des plis simples des 8 décembre 2018, 15 février 2019 et 16 mars 2019) dont il ignorait en toute bonne foi l’existence et n’avait pas à l’anticiper (dans ce sens, voir ATF 112 Ia 305 consid. 3). Ces frais étaient ainsi totalement injustifiés, le recourant ne devant subir aucun préjudice résultant de notifications défectueuses. L’on peut ajouter que l’on peine également à comprendre le reproche du Conseil d’Etat selon lequel (cf. supra, consid. E) le recourant n’aurait « pas mis en place un système d’adresse de notification valide » puisque, on l’a vu plus haut, il est domicilié à la Rue de l’Avenir 21 (à Sion) depuis le 1er mai 2018 et que rien n’indique qu’il ait changé d’adresse avant le 4 mai 2019. L’on verrait d’ailleurs mal l’intérêt qu’il aurait eu à agir de la sorte pour éviter de recevoir une facture pour un impôt d’une ampleur fort modique. Le suspecter « de ne pas avoir mis en place d’un système d’adresse de notification valide » relève donc d’un pur jugement de valeur s’apparentant à un procès d’intention. Partant, le grief tiré de la violation des règles relatives à la notification est bien fondé, ce qui entraîne l’admission du recours et dispense la Cour de céans d’examiner le dernier grief (interdiction de l’arbitraire) soulevé dans cette écriture.</w:t>
      </w:r>
    </w:p>
    <w:p>
      <w:r>
        <w:rPr>
          <w:b/>
        </w:rPr>
        <w:t>E. 4</w:t>
      </w:r>
    </w:p>
    <w:p>
      <w:r>
        <w:t>En définitive, le recours est admis (art. 80 al. 1 let. e et 60 al. 1 LPJA). La décision du Conseil d’Etat du 17 mars 2021 est donc annulée et le recourant est libéré du paiement des frais (108 fr.) fixés dans la décision du SCN du 4 mai 2019.</w:t>
      </w:r>
    </w:p>
    <w:p>
      <w:r>
        <w:rPr>
          <w:b/>
        </w:rPr>
        <w:t>E. 5</w:t>
      </w:r>
    </w:p>
    <w:p>
      <w:r>
        <w:t>Le sort du litige commande de ne pas percevoir de frais (art. 89 al. 1 a contrario et 4 LPJA). Le recourant, qui obtient gain de cause et a pris une conclusion dans ce sens, a droit à des dépens (art. 91 al. 1 LPJA) pour la procédure de recours de droit administratif (art. 37 et 39 de la loi fixant le tarif des frais et dépens devant les autorités judiciaires ou administratives du 11 février 2009 [LTar ; RS/VS 173.8]). Il n’a par contre</w:t>
      </w:r>
    </w:p>
    <w:p>
      <w:r>
        <w:t>- 10 - pas droit à une indemnité de partie (cf. article 4 al. 2 LTar) pour la procédure devant le Conseil d’Etat faute de conclusion dans ce sens dans son recours du 14 mai 2019. Le travail réalisé par son avocate devant le Tribunal cantonal a consisté en la seule rédaction du recours administratif du 6 avril 2021 (écriture de 17 pages accompagnée d’une procuration et de cinq titres). Ceci justifie de fixer les dépens du recourant, en l’absence de décompte LTar, à 1500 fr. (débours [les copies étant calculées à 50 cts l’unité ; cf. ATF 118 Ib 349 consid. 5a] et TVA compris ; cf. art. 4 al. 3, 27 al. 1, 37 al. 2 et 39 LTar). L’Etat du Valais versera donc à X _________ 1200 fr. à titre de dépens (art. 91 al. 1 et 2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